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89E" w:rsidRPr="0034314C" w:rsidRDefault="00BE689E" w:rsidP="00BE689E">
      <w:pPr>
        <w:pStyle w:val="Web"/>
        <w:jc w:val="both"/>
        <w:rPr>
          <w:rFonts w:ascii="Calibri" w:hAnsi="Calibri"/>
          <w:color w:val="2F5496"/>
          <w:sz w:val="20"/>
          <w:szCs w:val="20"/>
        </w:rPr>
      </w:pPr>
      <w:r w:rsidRPr="0034314C">
        <w:rPr>
          <w:rFonts w:ascii="Calibri" w:hAnsi="Calibri"/>
          <w:color w:val="2F5496"/>
          <w:sz w:val="20"/>
          <w:szCs w:val="20"/>
        </w:rPr>
        <w:t>Η πραγμάτευση της ύλης του μαθήματος καταλαμβάνει 13 εβδομάδες. Η κατανομή της ύλη στις εβδομάδες αυτές έχει ως εξής:</w:t>
      </w:r>
    </w:p>
    <w:p w:rsidR="00BE689E" w:rsidRPr="0034314C" w:rsidRDefault="00BE689E" w:rsidP="00BE689E">
      <w:pPr>
        <w:pStyle w:val="Web"/>
        <w:rPr>
          <w:rFonts w:ascii="Calibri" w:hAnsi="Calibri"/>
          <w:color w:val="2F5496"/>
          <w:sz w:val="20"/>
          <w:szCs w:val="20"/>
        </w:rPr>
      </w:pPr>
      <w:r w:rsidRPr="0034314C">
        <w:rPr>
          <w:rFonts w:ascii="Calibri" w:hAnsi="Calibri"/>
          <w:color w:val="2F5496"/>
          <w:sz w:val="20"/>
          <w:szCs w:val="20"/>
          <w:lang w:val="en-US"/>
        </w:rPr>
        <w:t>A</w:t>
      </w:r>
      <w:r w:rsidRPr="0034314C">
        <w:rPr>
          <w:rFonts w:ascii="Calibri" w:hAnsi="Calibri"/>
          <w:color w:val="2F5496"/>
          <w:sz w:val="20"/>
          <w:szCs w:val="20"/>
        </w:rPr>
        <w:t>. ΕΓΚΛΗΜΑΤΑ ΣΧΕΤΙΚΑ ΜΕ ΤΟ ΝΟΜΙΣΜΑ (άρθρα 207-213 ΠΚ)</w:t>
      </w:r>
    </w:p>
    <w:p w:rsidR="00BE689E" w:rsidRPr="0034314C" w:rsidRDefault="00BE689E" w:rsidP="00BE689E">
      <w:pPr>
        <w:pStyle w:val="a3"/>
        <w:numPr>
          <w:ilvl w:val="0"/>
          <w:numId w:val="1"/>
        </w:numPr>
        <w:jc w:val="both"/>
        <w:rPr>
          <w:color w:val="2F5496"/>
          <w:sz w:val="20"/>
          <w:szCs w:val="20"/>
        </w:rPr>
      </w:pPr>
      <w:r w:rsidRPr="0034314C">
        <w:rPr>
          <w:color w:val="2F5496"/>
          <w:sz w:val="20"/>
          <w:szCs w:val="20"/>
        </w:rPr>
        <w:t xml:space="preserve">Το προστατευόμενο έννομο αγαθό στα εγκλήματα σχετικά με το νόμισμα. Ιστορική διάσταση των εγκλημάτων περί το νόμισμα. </w:t>
      </w:r>
      <w:r w:rsidRPr="0034314C">
        <w:rPr>
          <w:color w:val="2F5496"/>
          <w:sz w:val="20"/>
          <w:szCs w:val="20"/>
          <w:lang w:val="en-US"/>
        </w:rPr>
        <w:t>H</w:t>
      </w:r>
      <w:r w:rsidRPr="0034314C">
        <w:rPr>
          <w:color w:val="2F5496"/>
          <w:sz w:val="20"/>
          <w:szCs w:val="20"/>
        </w:rPr>
        <w:t xml:space="preserve"> ευρωπαϊκή προοπτική με την εισαγωγή του ευρώ. Οι απόψεις που κατά καιρούς προτάθηκαν. Το «νόμισμα» ως έννομο αγαθό. α) Η έννοια του νομίσματος ως τεχνικός όρος (νόμισμα με τη στενή του όρου έννοια). Χρονικά όρια ισχύος του νομίσματος. Η έννοια της </w:t>
      </w:r>
      <w:proofErr w:type="spellStart"/>
      <w:r w:rsidRPr="0034314C">
        <w:rPr>
          <w:color w:val="2F5496"/>
          <w:sz w:val="20"/>
          <w:szCs w:val="20"/>
        </w:rPr>
        <w:t>απονομισματοποίησης</w:t>
      </w:r>
      <w:proofErr w:type="spellEnd"/>
      <w:r w:rsidRPr="0034314C">
        <w:rPr>
          <w:color w:val="2F5496"/>
          <w:sz w:val="20"/>
          <w:szCs w:val="20"/>
        </w:rPr>
        <w:t xml:space="preserve"> και η συναλλακτική αδράνεια ως ουσιαστική </w:t>
      </w:r>
      <w:proofErr w:type="spellStart"/>
      <w:r w:rsidRPr="0034314C">
        <w:rPr>
          <w:color w:val="2F5496"/>
          <w:sz w:val="20"/>
          <w:szCs w:val="20"/>
        </w:rPr>
        <w:t>απονομισματοποίηση</w:t>
      </w:r>
      <w:proofErr w:type="spellEnd"/>
      <w:r w:rsidRPr="0034314C">
        <w:rPr>
          <w:color w:val="2F5496"/>
          <w:sz w:val="20"/>
          <w:szCs w:val="20"/>
        </w:rPr>
        <w:t xml:space="preserve"> (η προβληματική της </w:t>
      </w:r>
      <w:proofErr w:type="spellStart"/>
      <w:r w:rsidRPr="0034314C">
        <w:rPr>
          <w:color w:val="2F5496"/>
          <w:sz w:val="20"/>
          <w:szCs w:val="20"/>
        </w:rPr>
        <w:t>πλαστοποίησης</w:t>
      </w:r>
      <w:proofErr w:type="spellEnd"/>
      <w:r w:rsidRPr="0034314C">
        <w:rPr>
          <w:color w:val="2F5496"/>
          <w:sz w:val="20"/>
          <w:szCs w:val="20"/>
        </w:rPr>
        <w:t xml:space="preserve"> «χρυσών λιρών»). Το «φανταστικό» νόμισμα. β) Τα λοιπά μέσα πληρωμής πλην των μετρητών (ά. 207 παρ. 2 ΠΚ). </w:t>
      </w:r>
    </w:p>
    <w:p w:rsidR="00BE689E" w:rsidRPr="0034314C" w:rsidRDefault="00BE689E" w:rsidP="00BE689E">
      <w:pPr>
        <w:pStyle w:val="a3"/>
        <w:numPr>
          <w:ilvl w:val="0"/>
          <w:numId w:val="1"/>
        </w:numPr>
        <w:jc w:val="both"/>
        <w:rPr>
          <w:color w:val="2F5496"/>
          <w:sz w:val="20"/>
          <w:szCs w:val="20"/>
        </w:rPr>
      </w:pPr>
      <w:r w:rsidRPr="0034314C">
        <w:rPr>
          <w:color w:val="2F5496"/>
          <w:sz w:val="20"/>
          <w:szCs w:val="20"/>
        </w:rPr>
        <w:t>Το έγκλημα της παραχάραξης (ά. 207 ΠΚ): Μορφολογία του εγκλήματος. Τα επιμέρους εγκλήματα: «παραποίηση», «νόθευση», «κατοχή» πλαστών νομισμάτων.</w:t>
      </w:r>
    </w:p>
    <w:p w:rsidR="00BE689E" w:rsidRPr="0034314C" w:rsidRDefault="00BE689E" w:rsidP="00BE689E">
      <w:pPr>
        <w:pStyle w:val="a3"/>
        <w:numPr>
          <w:ilvl w:val="0"/>
          <w:numId w:val="1"/>
        </w:numPr>
        <w:jc w:val="both"/>
        <w:rPr>
          <w:color w:val="2F5496"/>
          <w:sz w:val="20"/>
          <w:szCs w:val="20"/>
        </w:rPr>
      </w:pPr>
      <w:r w:rsidRPr="0034314C">
        <w:rPr>
          <w:color w:val="2F5496"/>
          <w:sz w:val="20"/>
          <w:szCs w:val="20"/>
        </w:rPr>
        <w:t xml:space="preserve">Η υποκειμενική υπόσταση του εγκλήματος της «παραχάραξης». Μορφές εμφάνισης του εγκλήματος (α. απόπειρα, β. συμμετοχή, γ. συρροή). </w:t>
      </w:r>
    </w:p>
    <w:p w:rsidR="00BE689E" w:rsidRPr="0034314C" w:rsidRDefault="00BE689E" w:rsidP="00BE689E">
      <w:pPr>
        <w:pStyle w:val="a3"/>
        <w:numPr>
          <w:ilvl w:val="0"/>
          <w:numId w:val="1"/>
        </w:numPr>
        <w:jc w:val="both"/>
        <w:rPr>
          <w:color w:val="2F5496"/>
          <w:sz w:val="20"/>
          <w:szCs w:val="20"/>
        </w:rPr>
      </w:pPr>
      <w:r w:rsidRPr="0034314C">
        <w:rPr>
          <w:color w:val="2F5496"/>
          <w:sz w:val="20"/>
          <w:szCs w:val="20"/>
        </w:rPr>
        <w:t xml:space="preserve">Το έγκλημα της κυκλοφορίας παραχαραγμένων νομισμάτων (ά. 208 ΠΚ): Αντικειμενική υπόσταση (υλικό αντικείμενο· η έννοια της «κυκλοφορίας»· νομολογιακή επισκόπηση). Υποκειμενική υπόσταση. Μορφές εμφάνισης του εγκλήματος (α. απόπειρα, β. συμμετοχή, γ. συρροή). Οι παραλλαγές του εγκλήματος (απλά προνομιούχες, ιδιαίτερα προνομιούχες παραλλαγές). Η προβληματική της συρροής της παραχάραξης με το έγκλημα της κυκλοφορίας παραχαραγμένων νομισμάτων. </w:t>
      </w:r>
    </w:p>
    <w:p w:rsidR="00BE689E" w:rsidRPr="0034314C" w:rsidRDefault="00BE689E" w:rsidP="00BE689E">
      <w:pPr>
        <w:pStyle w:val="a3"/>
        <w:numPr>
          <w:ilvl w:val="0"/>
          <w:numId w:val="1"/>
        </w:numPr>
        <w:jc w:val="both"/>
        <w:rPr>
          <w:color w:val="2F5496"/>
          <w:sz w:val="20"/>
          <w:szCs w:val="20"/>
        </w:rPr>
      </w:pPr>
      <w:r w:rsidRPr="0034314C">
        <w:rPr>
          <w:color w:val="2F5496"/>
          <w:sz w:val="20"/>
          <w:szCs w:val="20"/>
        </w:rPr>
        <w:t xml:space="preserve">Η καθ’ υπέρβαση του σχετικού δικαιώματος παραχάραξη και κυκλοφορία παραχαραγμένων νομισμάτων (ά. 208Α ΠΚ). Η παραγωγή και διάθεση μεταλλίων και μαρκών που έχουν οπτικά χαρακτηριστικά, μέγεθος ή ιδιότητες μετάλλου, που προσομοιάζουν με τα αντίστοιχα των κερμάτων ευρώ και μπορούν να χρησιμοποιηθούν στη θέση των τελευταίων (ά. 208Β ΠΚ). </w:t>
      </w:r>
    </w:p>
    <w:p w:rsidR="00BE689E" w:rsidRPr="0034314C" w:rsidRDefault="00BE689E" w:rsidP="00BE689E">
      <w:pPr>
        <w:pStyle w:val="a3"/>
        <w:numPr>
          <w:ilvl w:val="0"/>
          <w:numId w:val="1"/>
        </w:numPr>
        <w:rPr>
          <w:color w:val="2F5496"/>
          <w:sz w:val="20"/>
          <w:szCs w:val="20"/>
        </w:rPr>
      </w:pPr>
      <w:r w:rsidRPr="0034314C">
        <w:rPr>
          <w:color w:val="2F5496"/>
          <w:sz w:val="20"/>
          <w:szCs w:val="20"/>
        </w:rPr>
        <w:t>Πλαστογραφία και κατάχρηση ενσήμων (ά. 208Γ ΠΚ).</w:t>
      </w:r>
    </w:p>
    <w:p w:rsidR="00BE689E" w:rsidRPr="000A5ECA" w:rsidRDefault="00BE689E" w:rsidP="00BE689E">
      <w:pPr>
        <w:pStyle w:val="a3"/>
        <w:numPr>
          <w:ilvl w:val="0"/>
          <w:numId w:val="1"/>
        </w:numPr>
        <w:jc w:val="both"/>
        <w:rPr>
          <w:color w:val="2F5496"/>
          <w:sz w:val="20"/>
          <w:szCs w:val="20"/>
        </w:rPr>
      </w:pPr>
      <w:r>
        <w:rPr>
          <w:color w:val="2F5496"/>
          <w:sz w:val="20"/>
          <w:szCs w:val="20"/>
        </w:rPr>
        <w:t xml:space="preserve">Παραποίηση και νόθευση </w:t>
      </w:r>
      <w:proofErr w:type="spellStart"/>
      <w:r>
        <w:rPr>
          <w:color w:val="2F5496"/>
          <w:sz w:val="20"/>
          <w:szCs w:val="20"/>
        </w:rPr>
        <w:t>άϋλων</w:t>
      </w:r>
      <w:proofErr w:type="spellEnd"/>
      <w:r>
        <w:rPr>
          <w:color w:val="2F5496"/>
          <w:sz w:val="20"/>
          <w:szCs w:val="20"/>
        </w:rPr>
        <w:t xml:space="preserve"> μέσων πληρωμής (ά.209 ΠΚ)- Παράνομη απόκτηση </w:t>
      </w:r>
      <w:proofErr w:type="spellStart"/>
      <w:r>
        <w:rPr>
          <w:color w:val="2F5496"/>
          <w:sz w:val="20"/>
          <w:szCs w:val="20"/>
        </w:rPr>
        <w:t>άϋλων</w:t>
      </w:r>
      <w:proofErr w:type="spellEnd"/>
      <w:r>
        <w:rPr>
          <w:color w:val="2F5496"/>
          <w:sz w:val="20"/>
          <w:szCs w:val="20"/>
        </w:rPr>
        <w:t xml:space="preserve"> μέσων πληρωμής (ά. 210 ΠΚ) - Αποδοχή και διάθεση παρανόμως αποκτηθέντων </w:t>
      </w:r>
      <w:proofErr w:type="spellStart"/>
      <w:r>
        <w:rPr>
          <w:color w:val="2F5496"/>
          <w:sz w:val="20"/>
          <w:szCs w:val="20"/>
        </w:rPr>
        <w:t>άϋλων</w:t>
      </w:r>
      <w:proofErr w:type="spellEnd"/>
      <w:r>
        <w:rPr>
          <w:color w:val="2F5496"/>
          <w:sz w:val="20"/>
          <w:szCs w:val="20"/>
        </w:rPr>
        <w:t xml:space="preserve"> μέσων πληρωμής (ά.210Α ΠΚ).</w:t>
      </w:r>
    </w:p>
    <w:p w:rsidR="00BE689E" w:rsidRPr="0034314C" w:rsidRDefault="00BE689E" w:rsidP="00BE689E">
      <w:pPr>
        <w:pStyle w:val="a3"/>
        <w:numPr>
          <w:ilvl w:val="0"/>
          <w:numId w:val="1"/>
        </w:numPr>
        <w:jc w:val="both"/>
        <w:rPr>
          <w:color w:val="2F5496"/>
          <w:sz w:val="20"/>
          <w:szCs w:val="20"/>
        </w:rPr>
      </w:pPr>
      <w:r w:rsidRPr="0034314C">
        <w:rPr>
          <w:color w:val="2F5496"/>
          <w:sz w:val="20"/>
          <w:szCs w:val="20"/>
        </w:rPr>
        <w:t xml:space="preserve">Η </w:t>
      </w:r>
      <w:proofErr w:type="spellStart"/>
      <w:r w:rsidRPr="0034314C">
        <w:rPr>
          <w:color w:val="2F5496"/>
          <w:sz w:val="20"/>
          <w:szCs w:val="20"/>
        </w:rPr>
        <w:t>τιμώρηση</w:t>
      </w:r>
      <w:proofErr w:type="spellEnd"/>
      <w:r w:rsidRPr="0034314C">
        <w:rPr>
          <w:color w:val="2F5496"/>
          <w:sz w:val="20"/>
          <w:szCs w:val="20"/>
        </w:rPr>
        <w:t xml:space="preserve"> των προπαρασκευαστικών πράξεων (ά. 211 ΠΚ). Η έμπρακτη μετάνοια ως λόγος εξάλειψης του αξιοποίνου των πράξεων παραχάραξης και προπαρασκευαστικών αυτής πράξεων (ά. 212 ΠΚ). Η ειδική δήμευση του άρθρου 213 ΠΚ. Η ευρωπαϊκή διάσταση του νομίσματος. Αποφάσεις-πλαίσια και λοιπά νομοθετικά κείμενα για την ενίσχυση της προστασίας από την παραχάραξη. Η διεθνής όψη της προστασίας του νομίσματος και η αρχή της παγκόσμιας δικαιοσύνης (ά. 8 </w:t>
      </w:r>
      <w:proofErr w:type="spellStart"/>
      <w:r w:rsidRPr="0034314C">
        <w:rPr>
          <w:color w:val="2F5496"/>
          <w:sz w:val="20"/>
          <w:szCs w:val="20"/>
        </w:rPr>
        <w:t>περ</w:t>
      </w:r>
      <w:proofErr w:type="spellEnd"/>
      <w:r w:rsidRPr="0034314C">
        <w:rPr>
          <w:color w:val="2F5496"/>
          <w:sz w:val="20"/>
          <w:szCs w:val="20"/>
        </w:rPr>
        <w:t>. η’ ΠΚ). Η οργανωμένη εγκληματικότητα με αντικείμενο την παραχάραξη και κυκλοφορία παραχαραγμένων νομισμάτων στο πλαίσιο του άρθρου 187 ΠΚ</w:t>
      </w:r>
      <w:r>
        <w:rPr>
          <w:color w:val="2F5496"/>
          <w:sz w:val="20"/>
          <w:szCs w:val="20"/>
        </w:rPr>
        <w:t xml:space="preserve"> και 210Β ΠΚ</w:t>
      </w:r>
      <w:r w:rsidRPr="0034314C">
        <w:rPr>
          <w:color w:val="2F5496"/>
          <w:sz w:val="20"/>
          <w:szCs w:val="20"/>
        </w:rPr>
        <w:t>.</w:t>
      </w:r>
    </w:p>
    <w:p w:rsidR="00BE689E" w:rsidRPr="0034314C" w:rsidRDefault="00BE689E" w:rsidP="00BE689E">
      <w:pPr>
        <w:pStyle w:val="Web"/>
        <w:rPr>
          <w:rFonts w:ascii="Calibri" w:hAnsi="Calibri"/>
          <w:color w:val="2F5496"/>
          <w:sz w:val="20"/>
          <w:szCs w:val="20"/>
        </w:rPr>
      </w:pPr>
      <w:r w:rsidRPr="0034314C">
        <w:rPr>
          <w:rFonts w:ascii="Calibri" w:hAnsi="Calibri"/>
          <w:color w:val="2F5496"/>
          <w:sz w:val="20"/>
          <w:szCs w:val="20"/>
        </w:rPr>
        <w:t xml:space="preserve">Β. ΕΓΚΛΗΜΑΤΑ ΚΑΤΑ ΤΗΣ ΤΙΜΗΣ (ά. 361-369 ΠΚ) </w:t>
      </w:r>
    </w:p>
    <w:p w:rsidR="00BE689E" w:rsidRPr="0034314C" w:rsidRDefault="00BE689E" w:rsidP="00BE689E">
      <w:pPr>
        <w:pStyle w:val="a3"/>
        <w:numPr>
          <w:ilvl w:val="0"/>
          <w:numId w:val="1"/>
        </w:numPr>
        <w:jc w:val="both"/>
        <w:rPr>
          <w:color w:val="2F5496"/>
          <w:sz w:val="20"/>
          <w:szCs w:val="20"/>
        </w:rPr>
      </w:pPr>
      <w:r w:rsidRPr="0034314C">
        <w:rPr>
          <w:color w:val="2F5496"/>
          <w:sz w:val="20"/>
          <w:szCs w:val="20"/>
        </w:rPr>
        <w:t xml:space="preserve">Το προστατευόμενο έννομο αγαθό στα εγκλήματα κατά της τιμής. Τα έννομα αγαθά «προσωπικότητα», «ανθρώπινη αξία», «τιμή» και «υπόληψη». </w:t>
      </w:r>
    </w:p>
    <w:p w:rsidR="00BE689E" w:rsidRPr="0034314C" w:rsidRDefault="00BE689E" w:rsidP="00BE689E">
      <w:pPr>
        <w:pStyle w:val="a3"/>
        <w:jc w:val="both"/>
        <w:rPr>
          <w:color w:val="2F5496"/>
          <w:sz w:val="20"/>
          <w:szCs w:val="20"/>
        </w:rPr>
      </w:pPr>
      <w:r w:rsidRPr="0034314C">
        <w:rPr>
          <w:color w:val="2F5496"/>
          <w:sz w:val="20"/>
          <w:szCs w:val="20"/>
        </w:rPr>
        <w:t xml:space="preserve">Το έγκλημα της εξύβρισης (ά. 361 ΠΚ). </w:t>
      </w:r>
      <w:r>
        <w:rPr>
          <w:color w:val="2F5496"/>
          <w:sz w:val="20"/>
          <w:szCs w:val="20"/>
        </w:rPr>
        <w:t xml:space="preserve">Αντικειμενική υπόσταση: Τρόποι προσβολής. </w:t>
      </w:r>
      <w:r w:rsidRPr="0034314C">
        <w:rPr>
          <w:color w:val="2F5496"/>
          <w:sz w:val="20"/>
          <w:szCs w:val="20"/>
        </w:rPr>
        <w:t xml:space="preserve">Το νόημα και η ερμηνεία της «εκδήλωσης». Ο προσδιορισμός του προσβαλλόμενου. «Ομαδικοί χαρακτηρισμοί». Διάκριση των προσβολών της τιμής από άλλες προσβολές- Διάκριση προσβολών της τιμής από αγένειες και αστεία. </w:t>
      </w:r>
      <w:r>
        <w:rPr>
          <w:color w:val="2F5496"/>
          <w:sz w:val="20"/>
          <w:szCs w:val="20"/>
        </w:rPr>
        <w:t>Υποκειμενική υπόσταση και ο</w:t>
      </w:r>
      <w:r w:rsidRPr="000A5ECA">
        <w:rPr>
          <w:color w:val="2F5496"/>
          <w:sz w:val="20"/>
          <w:szCs w:val="20"/>
        </w:rPr>
        <w:t xml:space="preserve">  «σκοπός εξύβρισης».</w:t>
      </w:r>
    </w:p>
    <w:p w:rsidR="00BE689E" w:rsidRPr="0034314C" w:rsidRDefault="00BE689E" w:rsidP="00BE689E">
      <w:pPr>
        <w:pStyle w:val="a3"/>
        <w:numPr>
          <w:ilvl w:val="0"/>
          <w:numId w:val="1"/>
        </w:numPr>
        <w:jc w:val="both"/>
        <w:rPr>
          <w:color w:val="2F5496"/>
          <w:sz w:val="20"/>
          <w:szCs w:val="20"/>
        </w:rPr>
      </w:pPr>
      <w:r w:rsidRPr="0034314C">
        <w:rPr>
          <w:color w:val="2F5496"/>
          <w:sz w:val="20"/>
          <w:szCs w:val="20"/>
        </w:rPr>
        <w:lastRenderedPageBreak/>
        <w:t xml:space="preserve">Το έγκλημα της συκοφαντικής δυσφήμησης (ά. 363 ΠΚ) και η συκοφαντική δυσφήμηση διά του τύπου (έννοια του «τύπου», κριτήρια δικαιολόγησης των προσβολών της τιμής διά του τύπου). Αντικειμενική υπόσταση: α. «Ισχυρισμός» γεγονότος – «διάδοση» γεγονότος. β. Έννοια «γεγονότος» – τα όρια μεταξύ αξιολογικής κρίσης και ισχυρισμού γεγονότος. γ. Έννοια «τρίτου» ενώπιον του οποίου λαμβάνει χώρα ο ισχυρισμός ή η διάδοση γεγονότος. δ. Δυνατότητα προσβολής της τιμής ή της υπόληψης. ε. Ολοκληρωμένο έγκλημα και απόπειρα. Υποκειμενική υπόσταση. </w:t>
      </w:r>
    </w:p>
    <w:p w:rsidR="00BE689E" w:rsidRPr="000A5ECA" w:rsidRDefault="00BE689E" w:rsidP="00BE689E">
      <w:pPr>
        <w:pStyle w:val="a3"/>
        <w:numPr>
          <w:ilvl w:val="0"/>
          <w:numId w:val="1"/>
        </w:numPr>
        <w:jc w:val="both"/>
        <w:rPr>
          <w:color w:val="2F5496"/>
          <w:sz w:val="20"/>
          <w:szCs w:val="20"/>
        </w:rPr>
      </w:pPr>
      <w:r w:rsidRPr="000A5ECA">
        <w:rPr>
          <w:color w:val="2F5496"/>
          <w:sz w:val="20"/>
          <w:szCs w:val="20"/>
        </w:rPr>
        <w:t xml:space="preserve">Η σημασία της αλήθειας του γεγονότος. Λόγοι </w:t>
      </w:r>
      <w:proofErr w:type="spellStart"/>
      <w:r w:rsidRPr="000A5ECA">
        <w:rPr>
          <w:color w:val="2F5496"/>
          <w:sz w:val="20"/>
          <w:szCs w:val="20"/>
        </w:rPr>
        <w:t>αίροντες</w:t>
      </w:r>
      <w:proofErr w:type="spellEnd"/>
      <w:r w:rsidRPr="000A5ECA">
        <w:rPr>
          <w:color w:val="2F5496"/>
          <w:sz w:val="20"/>
          <w:szCs w:val="20"/>
        </w:rPr>
        <w:t xml:space="preserve"> το άδικο, δικαιολογημένες προσβολές της τιμής: Το δικαιολογημένο ενδιαφέρον στα εγκλήματα κατά της τιμής</w:t>
      </w:r>
      <w:r>
        <w:rPr>
          <w:color w:val="2F5496"/>
          <w:sz w:val="20"/>
          <w:szCs w:val="20"/>
        </w:rPr>
        <w:t xml:space="preserve"> </w:t>
      </w:r>
      <w:r w:rsidRPr="000A5ECA">
        <w:rPr>
          <w:color w:val="2F5496"/>
          <w:sz w:val="20"/>
          <w:szCs w:val="20"/>
        </w:rPr>
        <w:t>α. «Δυσμενείς κρίσεις» για επιστημονικές, καλλιτεχνικές ή επαγγελματικές εργασίες· β. «δυσμενείς εκφράσεις» σε έγγραφα δημόσιας υπηρεσίας· γ. εκδηλώσεις μειωτικές της τιμής από δικαιολογημένο ενδιαφέρον (Η έννοια του «δικαιολογημένου ενδιαφέροντος»)· δ. ανάλογες περιπτώσεις.</w:t>
      </w:r>
    </w:p>
    <w:p w:rsidR="00BE689E" w:rsidRDefault="00BE689E" w:rsidP="00BE689E">
      <w:pPr>
        <w:pStyle w:val="a3"/>
        <w:numPr>
          <w:ilvl w:val="0"/>
          <w:numId w:val="1"/>
        </w:numPr>
        <w:jc w:val="both"/>
        <w:rPr>
          <w:color w:val="2F5496"/>
          <w:sz w:val="20"/>
          <w:szCs w:val="20"/>
        </w:rPr>
      </w:pPr>
      <w:r w:rsidRPr="0034314C">
        <w:rPr>
          <w:color w:val="2F5496"/>
          <w:sz w:val="20"/>
          <w:szCs w:val="20"/>
        </w:rPr>
        <w:t xml:space="preserve"> Δίωξη των εγκλημάτων κατά της τιμής. Δικονομικά ζητήματα και γενικές ρυθμίσεις (ά. 368, 369 ΠΚ). Διαδοχή συλλογισμών κατά την αποδεικτική διαδικασία στα εγκλήματα κατά της τιμής. Θέματα συρροής. </w:t>
      </w:r>
    </w:p>
    <w:p w:rsidR="00600F79" w:rsidRPr="00BE689E" w:rsidRDefault="00BE689E" w:rsidP="00BE689E">
      <w:pPr>
        <w:pStyle w:val="a3"/>
        <w:numPr>
          <w:ilvl w:val="0"/>
          <w:numId w:val="1"/>
        </w:numPr>
        <w:jc w:val="both"/>
        <w:rPr>
          <w:color w:val="2F5496"/>
          <w:sz w:val="20"/>
          <w:szCs w:val="20"/>
        </w:rPr>
      </w:pPr>
      <w:r w:rsidRPr="00BE689E">
        <w:rPr>
          <w:color w:val="2F5496"/>
          <w:sz w:val="20"/>
          <w:szCs w:val="20"/>
        </w:rPr>
        <w:t>Ο νόμος 5090/2024 και οι τροποποιήσεις που επέφερε στα εγκλήματα κατά της τιμής-</w:t>
      </w:r>
    </w:p>
    <w:sectPr w:rsidR="00600F79" w:rsidRPr="00BE689E" w:rsidSect="00600F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86953"/>
    <w:multiLevelType w:val="hybridMultilevel"/>
    <w:tmpl w:val="C6E6DD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7"/>
  <w:proofState w:spelling="clean" w:grammar="clean"/>
  <w:defaultTabStop w:val="720"/>
  <w:characterSpacingControl w:val="doNotCompress"/>
  <w:compat/>
  <w:rsids>
    <w:rsidRoot w:val="00BE689E"/>
    <w:rsid w:val="00600F79"/>
    <w:rsid w:val="00BE6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8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89E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BE68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690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2024-05-29T15:12:00Z</dcterms:created>
  <dcterms:modified xsi:type="dcterms:W3CDTF">2024-05-29T15:26:00Z</dcterms:modified>
</cp:coreProperties>
</file>